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31" w:type="dxa"/>
        <w:shd w:val="clear" w:color="auto" w:fill="FFFFFF"/>
        <w:tblCellMar>
          <w:left w:w="0" w:type="dxa"/>
          <w:right w:w="0" w:type="dxa"/>
        </w:tblCellMar>
        <w:tblLook w:val="04A0" w:firstRow="1" w:lastRow="0" w:firstColumn="1" w:lastColumn="0" w:noHBand="0" w:noVBand="1"/>
      </w:tblPr>
      <w:tblGrid>
        <w:gridCol w:w="3867"/>
        <w:gridCol w:w="6364"/>
      </w:tblGrid>
      <w:tr w:rsidR="002F45F6" w:rsidRPr="002F45F6" w14:paraId="22F2E875" w14:textId="77777777" w:rsidTr="002F45F6">
        <w:tc>
          <w:tcPr>
            <w:tcW w:w="3345" w:type="dxa"/>
            <w:shd w:val="clear" w:color="auto" w:fill="FFFFFF"/>
            <w:hideMark/>
          </w:tcPr>
          <w:p w14:paraId="25CD2267" w14:textId="77777777" w:rsidR="002F45F6" w:rsidRPr="002F45F6" w:rsidRDefault="002F45F6" w:rsidP="002F45F6">
            <w:pPr>
              <w:spacing w:after="0" w:line="390" w:lineRule="atLeast"/>
              <w:jc w:val="center"/>
              <w:rPr>
                <w:rFonts w:ascii="inherit" w:eastAsia="Times New Roman" w:hAnsi="inherit"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CHÍNH PHỦ</w:t>
            </w:r>
            <w:r w:rsidRPr="002F45F6">
              <w:rPr>
                <w:rFonts w:ascii="inherit" w:eastAsia="Times New Roman" w:hAnsi="inherit" w:cs="Arial"/>
                <w:b/>
                <w:bCs/>
                <w:kern w:val="0"/>
                <w:sz w:val="24"/>
                <w:szCs w:val="24"/>
                <w:bdr w:val="none" w:sz="0" w:space="0" w:color="auto" w:frame="1"/>
                <w14:ligatures w14:val="none"/>
              </w:rPr>
              <w:br/>
              <w:t>--------</w:t>
            </w:r>
          </w:p>
        </w:tc>
        <w:tc>
          <w:tcPr>
            <w:tcW w:w="5505" w:type="dxa"/>
            <w:shd w:val="clear" w:color="auto" w:fill="FFFFFF"/>
            <w:vAlign w:val="center"/>
            <w:hideMark/>
          </w:tcPr>
          <w:p w14:paraId="49AD9326" w14:textId="77777777" w:rsidR="002F45F6" w:rsidRPr="002F45F6" w:rsidRDefault="002F45F6" w:rsidP="002F45F6">
            <w:pPr>
              <w:spacing w:after="0" w:line="390" w:lineRule="atLeast"/>
              <w:jc w:val="center"/>
              <w:rPr>
                <w:rFonts w:ascii="inherit" w:eastAsia="Times New Roman" w:hAnsi="inherit"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CỘNG HÒA XÃ HỘI CHỦ NGHĨA VIỆT NAM</w:t>
            </w:r>
            <w:r w:rsidRPr="002F45F6">
              <w:rPr>
                <w:rFonts w:ascii="inherit" w:eastAsia="Times New Roman" w:hAnsi="inherit" w:cs="Arial"/>
                <w:b/>
                <w:bCs/>
                <w:kern w:val="0"/>
                <w:sz w:val="24"/>
                <w:szCs w:val="24"/>
                <w:bdr w:val="none" w:sz="0" w:space="0" w:color="auto" w:frame="1"/>
                <w14:ligatures w14:val="none"/>
              </w:rPr>
              <w:br/>
              <w:t>Độc lập - Tự do - Hạnh phúc</w:t>
            </w:r>
            <w:r w:rsidRPr="002F45F6">
              <w:rPr>
                <w:rFonts w:ascii="inherit" w:eastAsia="Times New Roman" w:hAnsi="inherit" w:cs="Arial"/>
                <w:b/>
                <w:bCs/>
                <w:kern w:val="0"/>
                <w:sz w:val="24"/>
                <w:szCs w:val="24"/>
                <w:bdr w:val="none" w:sz="0" w:space="0" w:color="auto" w:frame="1"/>
                <w14:ligatures w14:val="none"/>
              </w:rPr>
              <w:br/>
              <w:t>---------------</w:t>
            </w:r>
          </w:p>
        </w:tc>
      </w:tr>
      <w:tr w:rsidR="002F45F6" w:rsidRPr="002F45F6" w14:paraId="4BF1453F" w14:textId="77777777" w:rsidTr="002F45F6">
        <w:tc>
          <w:tcPr>
            <w:tcW w:w="3345" w:type="dxa"/>
            <w:shd w:val="clear" w:color="auto" w:fill="FFFFFF"/>
            <w:vAlign w:val="center"/>
            <w:hideMark/>
          </w:tcPr>
          <w:p w14:paraId="5BCC8733" w14:textId="77777777" w:rsidR="002F45F6" w:rsidRPr="002F45F6" w:rsidRDefault="002F45F6" w:rsidP="002F45F6">
            <w:pPr>
              <w:spacing w:after="240" w:line="390" w:lineRule="atLeast"/>
              <w:jc w:val="center"/>
              <w:rPr>
                <w:rFonts w:ascii="inherit" w:eastAsia="Times New Roman" w:hAnsi="inherit" w:cs="Arial"/>
                <w:kern w:val="0"/>
                <w:sz w:val="24"/>
                <w:szCs w:val="24"/>
                <w14:ligatures w14:val="none"/>
              </w:rPr>
            </w:pPr>
            <w:r w:rsidRPr="002F45F6">
              <w:rPr>
                <w:rFonts w:ascii="inherit" w:eastAsia="Times New Roman" w:hAnsi="inherit" w:cs="Arial"/>
                <w:kern w:val="0"/>
                <w:sz w:val="24"/>
                <w:szCs w:val="24"/>
                <w14:ligatures w14:val="none"/>
              </w:rPr>
              <w:t>Số: 127/2018/NĐ-CP</w:t>
            </w:r>
          </w:p>
        </w:tc>
        <w:tc>
          <w:tcPr>
            <w:tcW w:w="5505" w:type="dxa"/>
            <w:shd w:val="clear" w:color="auto" w:fill="FFFFFF"/>
            <w:vAlign w:val="center"/>
            <w:hideMark/>
          </w:tcPr>
          <w:p w14:paraId="506BA04B" w14:textId="77777777" w:rsidR="002F45F6" w:rsidRPr="002F45F6" w:rsidRDefault="002F45F6" w:rsidP="002F45F6">
            <w:pPr>
              <w:spacing w:after="0" w:line="390" w:lineRule="atLeast"/>
              <w:jc w:val="right"/>
              <w:rPr>
                <w:rFonts w:ascii="inherit" w:eastAsia="Times New Roman" w:hAnsi="inherit" w:cs="Arial"/>
                <w:kern w:val="0"/>
                <w:sz w:val="24"/>
                <w:szCs w:val="24"/>
                <w14:ligatures w14:val="none"/>
              </w:rPr>
            </w:pPr>
            <w:r w:rsidRPr="002F45F6">
              <w:rPr>
                <w:rFonts w:ascii="inherit" w:eastAsia="Times New Roman" w:hAnsi="inherit" w:cs="Arial"/>
                <w:i/>
                <w:iCs/>
                <w:kern w:val="0"/>
                <w:sz w:val="24"/>
                <w:szCs w:val="24"/>
                <w:bdr w:val="none" w:sz="0" w:space="0" w:color="auto" w:frame="1"/>
                <w14:ligatures w14:val="none"/>
              </w:rPr>
              <w:t>Hà Nội, ngày 21 tháng 9 năm 2018</w:t>
            </w:r>
          </w:p>
        </w:tc>
      </w:tr>
    </w:tbl>
    <w:p w14:paraId="01FA603A" w14:textId="77777777" w:rsidR="002F45F6" w:rsidRPr="002F45F6" w:rsidRDefault="002F45F6" w:rsidP="002F45F6">
      <w:pPr>
        <w:shd w:val="clear" w:color="auto" w:fill="FFFFFF"/>
        <w:spacing w:before="150" w:after="150" w:line="480" w:lineRule="atLeast"/>
        <w:jc w:val="center"/>
        <w:outlineLvl w:val="1"/>
        <w:rPr>
          <w:rFonts w:ascii="Arial" w:eastAsia="Times New Roman" w:hAnsi="Arial" w:cs="Arial"/>
          <w:b/>
          <w:bCs/>
          <w:color w:val="45710A"/>
          <w:kern w:val="0"/>
          <w:sz w:val="33"/>
          <w:szCs w:val="33"/>
          <w14:ligatures w14:val="none"/>
        </w:rPr>
      </w:pPr>
      <w:r w:rsidRPr="002F45F6">
        <w:rPr>
          <w:rFonts w:ascii="Arial" w:eastAsia="Times New Roman" w:hAnsi="Arial" w:cs="Arial"/>
          <w:b/>
          <w:bCs/>
          <w:color w:val="45710A"/>
          <w:kern w:val="0"/>
          <w:sz w:val="33"/>
          <w:szCs w:val="33"/>
          <w14:ligatures w14:val="none"/>
        </w:rPr>
        <w:t>NGHỊ ĐỊNH 127/2018/NĐ-CP</w:t>
      </w:r>
    </w:p>
    <w:p w14:paraId="7D4A387B" w14:textId="77777777" w:rsidR="002F45F6" w:rsidRPr="002F45F6" w:rsidRDefault="002F45F6" w:rsidP="002F45F6">
      <w:pPr>
        <w:shd w:val="clear" w:color="auto" w:fill="FFFFFF"/>
        <w:spacing w:after="0" w:line="390" w:lineRule="atLeast"/>
        <w:jc w:val="center"/>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QUY ĐỊNH TRÁCH NHIỆM QUẢN LÝ NHÀ NƯỚC VỀ GIÁO DỤC</w:t>
      </w:r>
    </w:p>
    <w:p w14:paraId="2365B55B"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i/>
          <w:iCs/>
          <w:kern w:val="0"/>
          <w:sz w:val="24"/>
          <w:szCs w:val="24"/>
          <w:bdr w:val="none" w:sz="0" w:space="0" w:color="auto" w:frame="1"/>
          <w14:ligatures w14:val="none"/>
        </w:rPr>
        <w:t>Căn cứ </w:t>
      </w:r>
      <w:hyperlink r:id="rId4" w:history="1">
        <w:r w:rsidRPr="002F45F6">
          <w:rPr>
            <w:rFonts w:ascii="inherit" w:eastAsia="Times New Roman" w:hAnsi="inherit" w:cs="Arial"/>
            <w:i/>
            <w:iCs/>
            <w:color w:val="003399"/>
            <w:kern w:val="0"/>
            <w:sz w:val="24"/>
            <w:szCs w:val="24"/>
            <w:bdr w:val="none" w:sz="0" w:space="0" w:color="auto" w:frame="1"/>
            <w14:ligatures w14:val="none"/>
          </w:rPr>
          <w:t>Luật tổ chức Chính phủ</w:t>
        </w:r>
      </w:hyperlink>
      <w:r w:rsidRPr="002F45F6">
        <w:rPr>
          <w:rFonts w:ascii="inherit" w:eastAsia="Times New Roman" w:hAnsi="inherit" w:cs="Arial"/>
          <w:i/>
          <w:iCs/>
          <w:kern w:val="0"/>
          <w:sz w:val="24"/>
          <w:szCs w:val="24"/>
          <w:bdr w:val="none" w:sz="0" w:space="0" w:color="auto" w:frame="1"/>
          <w14:ligatures w14:val="none"/>
        </w:rPr>
        <w:t> ngày 19 tháng 6 năm 2015;</w:t>
      </w:r>
    </w:p>
    <w:p w14:paraId="0FEB3968"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i/>
          <w:iCs/>
          <w:kern w:val="0"/>
          <w:sz w:val="24"/>
          <w:szCs w:val="24"/>
          <w:bdr w:val="none" w:sz="0" w:space="0" w:color="auto" w:frame="1"/>
          <w14:ligatures w14:val="none"/>
        </w:rPr>
        <w:t>Căn cứ</w:t>
      </w:r>
      <w:hyperlink r:id="rId5" w:history="1">
        <w:r w:rsidRPr="002F45F6">
          <w:rPr>
            <w:rFonts w:ascii="inherit" w:eastAsia="Times New Roman" w:hAnsi="inherit" w:cs="Arial"/>
            <w:i/>
            <w:iCs/>
            <w:color w:val="003399"/>
            <w:kern w:val="0"/>
            <w:sz w:val="24"/>
            <w:szCs w:val="24"/>
            <w:bdr w:val="none" w:sz="0" w:space="0" w:color="auto" w:frame="1"/>
            <w14:ligatures w14:val="none"/>
          </w:rPr>
          <w:t> Luật tổ chức chính quyền địa phương</w:t>
        </w:r>
      </w:hyperlink>
      <w:r w:rsidRPr="002F45F6">
        <w:rPr>
          <w:rFonts w:ascii="inherit" w:eastAsia="Times New Roman" w:hAnsi="inherit" w:cs="Arial"/>
          <w:i/>
          <w:iCs/>
          <w:kern w:val="0"/>
          <w:sz w:val="24"/>
          <w:szCs w:val="24"/>
          <w:bdr w:val="none" w:sz="0" w:space="0" w:color="auto" w:frame="1"/>
          <w14:ligatures w14:val="none"/>
        </w:rPr>
        <w:t> ngày 19 tháng 6 năm 2015;</w:t>
      </w:r>
    </w:p>
    <w:p w14:paraId="4E05F9FC"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i/>
          <w:iCs/>
          <w:kern w:val="0"/>
          <w:sz w:val="24"/>
          <w:szCs w:val="24"/>
          <w:bdr w:val="none" w:sz="0" w:space="0" w:color="auto" w:frame="1"/>
          <w14:ligatures w14:val="none"/>
        </w:rPr>
        <w:t>Căn cứ Luật giáo dục ngày 14 tháng 6 năm 2005 và Luật sửa đổi, bổ sung một số điều của Luật giáo dục ngày 25 tháng 11 năm 2009;</w:t>
      </w:r>
    </w:p>
    <w:p w14:paraId="56542305"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i/>
          <w:iCs/>
          <w:kern w:val="0"/>
          <w:sz w:val="24"/>
          <w:szCs w:val="24"/>
          <w:bdr w:val="none" w:sz="0" w:space="0" w:color="auto" w:frame="1"/>
          <w14:ligatures w14:val="none"/>
        </w:rPr>
        <w:t>Căn cứ </w:t>
      </w:r>
      <w:hyperlink r:id="rId6" w:history="1">
        <w:r w:rsidRPr="002F45F6">
          <w:rPr>
            <w:rFonts w:ascii="inherit" w:eastAsia="Times New Roman" w:hAnsi="inherit" w:cs="Arial"/>
            <w:i/>
            <w:iCs/>
            <w:color w:val="003399"/>
            <w:kern w:val="0"/>
            <w:sz w:val="24"/>
            <w:szCs w:val="24"/>
            <w:bdr w:val="none" w:sz="0" w:space="0" w:color="auto" w:frame="1"/>
            <w14:ligatures w14:val="none"/>
          </w:rPr>
          <w:t>Luật giáo dục đại học </w:t>
        </w:r>
      </w:hyperlink>
      <w:r w:rsidRPr="002F45F6">
        <w:rPr>
          <w:rFonts w:ascii="inherit" w:eastAsia="Times New Roman" w:hAnsi="inherit" w:cs="Arial"/>
          <w:i/>
          <w:iCs/>
          <w:kern w:val="0"/>
          <w:sz w:val="24"/>
          <w:szCs w:val="24"/>
          <w:bdr w:val="none" w:sz="0" w:space="0" w:color="auto" w:frame="1"/>
          <w14:ligatures w14:val="none"/>
        </w:rPr>
        <w:t>ngày 18 tháng 6 năm 2012;</w:t>
      </w:r>
    </w:p>
    <w:p w14:paraId="74D054EC"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i/>
          <w:iCs/>
          <w:kern w:val="0"/>
          <w:sz w:val="24"/>
          <w:szCs w:val="24"/>
          <w:bdr w:val="none" w:sz="0" w:space="0" w:color="auto" w:frame="1"/>
          <w14:ligatures w14:val="none"/>
        </w:rPr>
        <w:t>Căn cứ </w:t>
      </w:r>
      <w:hyperlink r:id="rId7" w:history="1">
        <w:r w:rsidRPr="002F45F6">
          <w:rPr>
            <w:rFonts w:ascii="inherit" w:eastAsia="Times New Roman" w:hAnsi="inherit" w:cs="Arial"/>
            <w:i/>
            <w:iCs/>
            <w:color w:val="003399"/>
            <w:kern w:val="0"/>
            <w:sz w:val="24"/>
            <w:szCs w:val="24"/>
            <w:bdr w:val="none" w:sz="0" w:space="0" w:color="auto" w:frame="1"/>
            <w14:ligatures w14:val="none"/>
          </w:rPr>
          <w:t>Luật giáo dục nghề nghiệp </w:t>
        </w:r>
      </w:hyperlink>
      <w:r w:rsidRPr="002F45F6">
        <w:rPr>
          <w:rFonts w:ascii="inherit" w:eastAsia="Times New Roman" w:hAnsi="inherit" w:cs="Arial"/>
          <w:i/>
          <w:iCs/>
          <w:kern w:val="0"/>
          <w:sz w:val="24"/>
          <w:szCs w:val="24"/>
          <w:bdr w:val="none" w:sz="0" w:space="0" w:color="auto" w:frame="1"/>
          <w14:ligatures w14:val="none"/>
        </w:rPr>
        <w:t>ngày 27 tháng 11 năm 2014;</w:t>
      </w:r>
    </w:p>
    <w:p w14:paraId="7756E754"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i/>
          <w:iCs/>
          <w:kern w:val="0"/>
          <w:sz w:val="24"/>
          <w:szCs w:val="24"/>
          <w:bdr w:val="none" w:sz="0" w:space="0" w:color="auto" w:frame="1"/>
          <w14:ligatures w14:val="none"/>
        </w:rPr>
        <w:t>Theo đề nghị của Bộ trưởng Bộ Giáo dục và Đào tạo;</w:t>
      </w:r>
    </w:p>
    <w:p w14:paraId="5BF57C9F"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i/>
          <w:iCs/>
          <w:kern w:val="0"/>
          <w:sz w:val="24"/>
          <w:szCs w:val="24"/>
          <w:bdr w:val="none" w:sz="0" w:space="0" w:color="auto" w:frame="1"/>
          <w14:ligatures w14:val="none"/>
        </w:rPr>
        <w:t>Chính phủ ban hành Nghị định quy định trách nhiệm quản lý nhà nước về giáo dục.</w:t>
      </w:r>
    </w:p>
    <w:p w14:paraId="73BACA62" w14:textId="77777777" w:rsidR="002F45F6" w:rsidRPr="002F45F6" w:rsidRDefault="002F45F6" w:rsidP="002F45F6">
      <w:pPr>
        <w:shd w:val="clear" w:color="auto" w:fill="FFFFFF"/>
        <w:spacing w:before="150" w:after="0" w:line="240" w:lineRule="auto"/>
        <w:outlineLvl w:val="2"/>
        <w:rPr>
          <w:rFonts w:ascii="Arial" w:eastAsia="Times New Roman" w:hAnsi="Arial" w:cs="Arial"/>
          <w:b/>
          <w:bCs/>
          <w:color w:val="444444"/>
          <w:kern w:val="0"/>
          <w:sz w:val="27"/>
          <w:szCs w:val="27"/>
          <w14:ligatures w14:val="none"/>
        </w:rPr>
      </w:pPr>
      <w:r w:rsidRPr="002F45F6">
        <w:rPr>
          <w:rFonts w:ascii="Arial" w:eastAsia="Times New Roman" w:hAnsi="Arial" w:cs="Arial"/>
          <w:b/>
          <w:bCs/>
          <w:color w:val="444444"/>
          <w:kern w:val="0"/>
          <w:sz w:val="27"/>
          <w:szCs w:val="27"/>
          <w14:ligatures w14:val="none"/>
        </w:rPr>
        <w:t>Chương I</w:t>
      </w:r>
    </w:p>
    <w:p w14:paraId="5FF2FDA6" w14:textId="77777777" w:rsidR="002F45F6" w:rsidRPr="002F45F6" w:rsidRDefault="002F45F6" w:rsidP="002F45F6">
      <w:pPr>
        <w:shd w:val="clear" w:color="auto" w:fill="FFFFFF"/>
        <w:spacing w:after="0" w:line="390" w:lineRule="atLeast"/>
        <w:jc w:val="center"/>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QUY ĐỊNH CHUNG</w:t>
      </w:r>
    </w:p>
    <w:p w14:paraId="07F9A073"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Điều 1. Phạm vi điều chỉnh</w:t>
      </w:r>
    </w:p>
    <w:p w14:paraId="0E8D18C6"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 Nghị định này quy định trách nhiệm quản lý nhà nước đối với giáo dục mầm non, giáo dục phổ thông, giáo dục đại học, giáo dục thường xuyên; trung cấp sư phạm, cao đẳng sư phạm và các cơ sở giáo dục khác theo quy định của pháp luật (sau đây gọi chung là quản lý nhà nước về giáo dục).</w:t>
      </w:r>
    </w:p>
    <w:p w14:paraId="55FC11DC"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2. Nghị định này không áp dụng đối với quản lý nhà nước về giáo dục nghề nghiệp.</w:t>
      </w:r>
    </w:p>
    <w:p w14:paraId="42460C06"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Điều 2. Đối tượng áp dụng</w:t>
      </w:r>
    </w:p>
    <w:p w14:paraId="144819A0"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Nghị định này áp dụng với các bộ, cơ quan ngang bộ (sau đây gọi chung là bộ); Ủy ban nhân dân tỉnh, thành phố trực thuộc trung ương (sau đây gọi chung là Ủy ban nhân dân cấp tỉnh); Ủy ban nhân dân huyện, quận, thị xã, thành phố thuộc tỉnh, thành phố thuộc thành phố trực thuộc trung ương (sau đây gọi chung là Ủy ban nhân dân cấp huyện); Ủy ban nhân dân xã, phường, thị trấn (sau đây gọi chung là Ủy ban nhân dân cấp xã); Sở Giáo dục và Đào tạo thuộc Ủy ban nhân dân cấp tỉnh; Phòng Giáo dục và Đào tạo thuộc Ủy ban nhân dân cấp huyện và các tổ chức, cá nhân có liên quan.</w:t>
      </w:r>
    </w:p>
    <w:p w14:paraId="2D0BC1A1"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lastRenderedPageBreak/>
        <w:t>Điều 3. Yêu cầu đối với việc quy định trách nhiệm quản lý nhà nước về giáo dục</w:t>
      </w:r>
    </w:p>
    <w:p w14:paraId="3710014D"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 Bảo đảm tính thống nhất, thông suốt và nâng cao hiệu lực, hiệu quả trong quản lý nhà nước về giáo dục.</w:t>
      </w:r>
    </w:p>
    <w:p w14:paraId="7C0EA935"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2. Bảo đảm tương ứng giữa nhiệm vụ, quyền hạn, trách nhiệm với nguồn lực tài chính, nhân sự, điều kiện bảo đảm chất lượng giáo dục và các điều kiện cần thiết khác để thực hiện nhiệm vụ được giao.</w:t>
      </w:r>
    </w:p>
    <w:p w14:paraId="597E45F9"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3. Xác định cụ thể nhiệm vụ, quyền hạn, trách nhiệm quản lý nhà nước của các bộ, Ủy ban nhân dân các cấp và các cơ quan có liên quan.</w:t>
      </w:r>
    </w:p>
    <w:p w14:paraId="5C4F34B3" w14:textId="77777777" w:rsidR="002F45F6" w:rsidRPr="002F45F6" w:rsidRDefault="002F45F6" w:rsidP="002F45F6">
      <w:pPr>
        <w:shd w:val="clear" w:color="auto" w:fill="FFFFFF"/>
        <w:spacing w:before="150" w:after="0" w:line="240" w:lineRule="auto"/>
        <w:outlineLvl w:val="2"/>
        <w:rPr>
          <w:rFonts w:ascii="Arial" w:eastAsia="Times New Roman" w:hAnsi="Arial" w:cs="Arial"/>
          <w:b/>
          <w:bCs/>
          <w:color w:val="444444"/>
          <w:kern w:val="0"/>
          <w:sz w:val="27"/>
          <w:szCs w:val="27"/>
          <w14:ligatures w14:val="none"/>
        </w:rPr>
      </w:pPr>
      <w:r w:rsidRPr="002F45F6">
        <w:rPr>
          <w:rFonts w:ascii="Arial" w:eastAsia="Times New Roman" w:hAnsi="Arial" w:cs="Arial"/>
          <w:b/>
          <w:bCs/>
          <w:color w:val="444444"/>
          <w:kern w:val="0"/>
          <w:sz w:val="27"/>
          <w:szCs w:val="27"/>
          <w14:ligatures w14:val="none"/>
        </w:rPr>
        <w:t>Chương II</w:t>
      </w:r>
    </w:p>
    <w:p w14:paraId="65A5AFA9" w14:textId="77777777" w:rsidR="002F45F6" w:rsidRPr="002F45F6" w:rsidRDefault="002F45F6" w:rsidP="002F45F6">
      <w:pPr>
        <w:shd w:val="clear" w:color="auto" w:fill="FFFFFF"/>
        <w:spacing w:after="0" w:line="390" w:lineRule="atLeast"/>
        <w:jc w:val="center"/>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TRÁCH NHIỆM QUẢN LÝ NHÀ NƯỚC VỀ GIÁO DỤC CỦA BỘ GIÁO DỤC VÀ ĐÀO TẠO, CÁC BỘ, ỦY BAN NHÂN DÂN CÁC CẤP, CHỦ TỊCH ỦY BAN NHÂN DÂN CÁC CẤP</w:t>
      </w:r>
    </w:p>
    <w:p w14:paraId="2050D12B"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Điều 4. Trách nhiệm quản lý nhà nước về giáo dục của Bộ Giáo dục và Đào tạo</w:t>
      </w:r>
    </w:p>
    <w:p w14:paraId="5775323D"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 Xây dựng, trình Thủ tướng Chính phủ ban hành chiến lược phát triển giáo dục, quy hoạch mạng lưới cơ sở giáo dục đại học và cơ sở đào tạo giáo viên</w:t>
      </w:r>
    </w:p>
    <w:p w14:paraId="46154346"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2. Ban hành chương trình giáo dục mầm non, giáo dục phổ thông, giáo dục thường xuyên và quy định chuẩn chương trình đào tạo đối với giáo dục đại học; danh mục giáo dục, đào tạo cấp IV trình độ trung cấp sư phạm, cao đẳng sư phạm, đại học, thạc sĩ, tiến sĩ; quy chế đào tạo và liên kết đào tạo.</w:t>
      </w:r>
    </w:p>
    <w:p w14:paraId="38C2AA99"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3. Quy định việc tổ chức biên soạn, thẩm định, phê duyệt được phép sử dụng và hướng dẫn lựa chọn tài liệu học tập, sách giáo khoa, tài liệu giảng dạy trong các cơ sở giáo dục mầm non, giáo dục phổ thông và giáo dục thường xuyên; quy định về xây dựng, thẩm định, ban hành chương trình đào tạo đối với trung cấp sư phạm, cao đẳng sư phạm, giáo dục đại học.</w:t>
      </w:r>
    </w:p>
    <w:p w14:paraId="1F178514"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4. Ban hành quy chế thi cử; quy định việc kiểm tra và đánh giá người học; quy định văn bằng, chứng chỉ trong hệ thống giáo dục quốc dân và việc công nhận văn bằng do cơ sở giáo dục nước ngoài cấp cho người Việt Nam. Chủ trì xây dựng hiệp định về tương đương văn bằng hoặc công nhận lẫn nhau về văn bằng với các nước, tổ chức quốc tế.</w:t>
      </w:r>
    </w:p>
    <w:p w14:paraId="64590D68"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 xml:space="preserve">5. Quy định tiêu chuẩn chức danh, chế độ làm việc của nhà giáo và cán bộ quản lý giáo dục; danh mục khung vị trí việc làm và định mức số lượng người làm việc trong các cơ </w:t>
      </w:r>
      <w:r w:rsidRPr="002F45F6">
        <w:rPr>
          <w:rFonts w:ascii="Arial" w:eastAsia="Times New Roman" w:hAnsi="Arial" w:cs="Arial"/>
          <w:kern w:val="0"/>
          <w:sz w:val="24"/>
          <w:szCs w:val="24"/>
          <w14:ligatures w14:val="none"/>
        </w:rPr>
        <w:lastRenderedPageBreak/>
        <w:t>sở giáo dục. Quy định tiêu chuẩn người đứng đầu, cấp phó người đứng đầu các cơ sở giáo dục mầm non, giáo dục phổ thông, giáo dục thường xuyên, trường trung cấp sư phạm, cao đẳng sư phạm; tiêu chuẩn chức danh Giám đốc, Phó Giám đốc Sở Giáo dục và Đào tạo, Trưởng phòng, Phó Trưởng phòng Giáo dục và Đào tạo; chuẩn nghề nghiệp nhà giáo.</w:t>
      </w:r>
    </w:p>
    <w:p w14:paraId="47643103"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6. Xây dựng, công bố tiêu chuẩn, quy chuẩn về cơ sở vật chất, thiết bị trường học và vệ sinh học đường theo quy định. Trình cấp có thẩm quyền ban hành cơ chế thu, sử dụng học phí trong lĩnh vực giáo dục, chính sách học bổng và các chính sách khác đối với người học.</w:t>
      </w:r>
    </w:p>
    <w:p w14:paraId="69B91EF2"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7. Ban hành chuẩn quốc gia đối với cơ sở giáo dục thuộc phạm vi quản lý nhà nước của bộ theo khung cơ cấu hệ thống giáo dục quốc dân và khung trình độ quốc gia Việt Nam; quy định tiêu chuẩn đánh giá chất lượng giáo dục; quy trình và chu kỳ kiểm định chất lượng giáo dục ở các cấp học và các trình độ đào tạo thuộc phạm vi quản lý nhà nước của bộ.</w:t>
      </w:r>
    </w:p>
    <w:p w14:paraId="7DE52877"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8. Ban hành điều lệ, quy chế tổ chức và hoạt động trường mầm non, trường tiểu học, trường trung học cơ sở, trường trung học phổ thông và trường phổ thông có nhiều cấp học, cơ sở giáo dục thường xuyên, trường chuyên biệt, trường trung cấp sư phạm, trường cao đẳng sư phạm và các cơ sở giáo dục khác thuộc phạm vi quản lý nhà nước của bộ; quy định hoạt động dạy học và giáo dục trong và ngoài nhà trường.</w:t>
      </w:r>
    </w:p>
    <w:p w14:paraId="5B4E556A"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9. Quản lý, hướng dẫn thực hiện chính sách xã hội hóa giáo dục.</w:t>
      </w:r>
    </w:p>
    <w:p w14:paraId="672FAAD5"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10. Tổ chức thực hiện công tác thống kê; xây dựng cơ sở dữ liệu quốc gia về giáo dục; ứng dụng công nghệ thông tin trong công tác quản lý ngành giáo dục.</w:t>
      </w:r>
    </w:p>
    <w:p w14:paraId="2AB999BA"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11. Chịu trách nhiệm giải trình về kết quả thực hiện các nhiệm vụ trong phạm vi quyền hạn được giao.</w:t>
      </w:r>
    </w:p>
    <w:p w14:paraId="2D4B4113"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12. Thực hiện các nhiệm vụ khác theo quy định của pháp luật.</w:t>
      </w:r>
    </w:p>
    <w:p w14:paraId="3B0C3AD6"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Điều 5. Trách nhiệm quản lý nhà nước về giáo dục của các bộ</w:t>
      </w:r>
    </w:p>
    <w:p w14:paraId="5F3A01C7"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lastRenderedPageBreak/>
        <w:t>1. Nghiên cứu, dự báo nhu cầu nhân lực của ngành, lĩnh vực thuộc thẩm quyền quản lý để phục vụ cho việc xây dựng kế hoạch đào tạo nguồn nhân lực. ứng dụng công nghệ thông tin trong công tác quản lý nhân lực của ngành, lĩnh vực.</w:t>
      </w:r>
    </w:p>
    <w:p w14:paraId="4F63078F"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2. Thực hiện chính sách xã hội hóa giáo dục, huy động các nguồn lực hợp pháp và sự tham gia của các tổ chức, cá nhân, doanh nghiệp trong công tác đào tạo nguồn nhân lực của ngành, lĩnh vực được giao quản lý.</w:t>
      </w:r>
    </w:p>
    <w:p w14:paraId="2525D1BE"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3. Thực hiện công tác thống kê, báo cáo định kỳ và đột xuất về hoạt động và các điều kiện bảo đảm chất lượng giáo dục của các cơ sở giáo dục trực thuộc bộ theo quy định.</w:t>
      </w:r>
    </w:p>
    <w:p w14:paraId="36EC22DE"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4. Chịu trách nhiệm giải trình về hoạt động và chất lượng giáo dục tại các cơ sở giáo dục trực thuộc bộ trong phạm vi quyền hạn được giao.</w:t>
      </w:r>
    </w:p>
    <w:p w14:paraId="1C026502"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5. Thực hiện các nhiệm vụ khác theo quy định của pháp luật.</w:t>
      </w:r>
    </w:p>
    <w:p w14:paraId="22E9C6B5"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Điều 6. Trách nhiệm quản lý nhà nước về giáo dục của Ủy ban nhân dân cấp tỉnh</w:t>
      </w:r>
    </w:p>
    <w:p w14:paraId="7D78E471"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 Trình Hội đồng nhân dân cấp tỉnh:</w:t>
      </w:r>
    </w:p>
    <w:p w14:paraId="21E0C953"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a) Quyết định kế hoạch, chương trình, dự án, chính sách phát triển giáo dục, phân luồng, hướng nghiệp học sinh tại địa phương phù hợp với chiến lược phát triển ngành giáo dục và kế hoạch phát triển kinh tế - xã hội của địa phương;</w:t>
      </w:r>
    </w:p>
    <w:p w14:paraId="47983BCF"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b) Quyết định mức thu học phí hàng năm đối với các cơ sở giáo dục công lập thuộc phạm vi quản lý nhà nước của tỉnh theo quy định của pháp luật;</w:t>
      </w:r>
    </w:p>
    <w:p w14:paraId="363B590E"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c) Quyết định biên chế công chức của cơ quan quản lý giáo dục trên địa bàn tỉnh trong tổng số biên chế công chức được cơ quan có thẩm quyền giao;</w:t>
      </w:r>
    </w:p>
    <w:p w14:paraId="1DD4344C"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d) Phê duyệt tổng số lượng người làm việc của các cơ sở giáo dục công lập thuộc phạm vi quản lý của tỉnh theo quy định của pháp luật.</w:t>
      </w:r>
    </w:p>
    <w:p w14:paraId="70E702A6"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2. Tổ chức thực hiện các văn bản pháp luật, chương trình, dự án về giáo dục tại địa phương; ban hành các chính sách để phát triển giáo dục trên địa bàn theo thẩm quyền.</w:t>
      </w:r>
    </w:p>
    <w:p w14:paraId="695D9F9A"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 xml:space="preserve">3. Sắp xếp, tổ chức lại các cơ sở giáo dục công lập thuộc phạm vi quản lý phù hợp với điều kiện thực tiễn của địa phương; bảo đảm đủ biên chế công chức quản lý giáo dục, </w:t>
      </w:r>
      <w:r w:rsidRPr="002F45F6">
        <w:rPr>
          <w:rFonts w:ascii="Arial" w:eastAsia="Times New Roman" w:hAnsi="Arial" w:cs="Arial"/>
          <w:kern w:val="0"/>
          <w:sz w:val="24"/>
          <w:szCs w:val="24"/>
          <w14:ligatures w14:val="none"/>
        </w:rPr>
        <w:lastRenderedPageBreak/>
        <w:t>đủ số lượng người làm việc theo đề án vị trí việc làm được phê duyệt, đáp ứng các điều kiện bảo đảm chất lượng giáo dục, tiến tới tổ chức học 02 buổi/ngày ở giáo dục phổ thông; chịu trách nhiệm giải trình về hoạt động giáo dục, chất lượng giáo dục, quản lý đội ngũ công chức, viên chức, người lao động và người học thuộc phạm vi quản lý.</w:t>
      </w:r>
    </w:p>
    <w:p w14:paraId="47C0B62E"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4. Quy định cụ thể chức năng, nhiệm vụ, quyền hạn, cơ cấu tổ chức của Sở Giáo dục và Đào tạo theo quy định của Chính phủ và hướng dẫn của Bộ Giáo dục và Đào tạo.</w:t>
      </w:r>
    </w:p>
    <w:p w14:paraId="4719D761"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5. Chấp thuận việc thành lập trường cao đẳng sư phạm, phân hiệu trường cao đẳng sư phạm, cơ sở giáo dục đại học, phân hiệu cơ sở giáo dục đại học; cấp giấy chứng nhận đăng ký đầu tư cơ sở giáo dục đại học có vốn đầu tư nước ngoài; cấp giấy chứng nhận đầu tư và phê duyệt quy hoạch xây dựng trường, thiết kế tổng thể đối với cơ sở giáo dục đại học tư thục; tham gia thẩm định thực tế đề án thành lập cơ sở giáo dục đại học trên địa bàn; kiểm tra và xác nhận các điều kiện bảo đảm chất lượng đào tạo để Bộ Giáo dục và Đào tạo cho phép hoạt động giáo dục đối với các cơ sở giáo dục đại học trên địa bàn theo quy định.</w:t>
      </w:r>
    </w:p>
    <w:p w14:paraId="456887D1"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6. Thực hiện việc cử tuyển vào các cơ sở giáo dục thuộc hệ thống giáo dục quốc dân và sử dụng người đi học cử tuyển theo quy định.</w:t>
      </w:r>
    </w:p>
    <w:p w14:paraId="562F4620"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7. Quản lý các trường đại học công lập trực thuộc tỉnh, các trường đại học tư thục trên địa bàn theo quy định của pháp luật.</w:t>
      </w:r>
    </w:p>
    <w:p w14:paraId="6EA2145C"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8. Bố trí đúng, đủ ngân sách nhà nước chi cho giáo dục tại địa phương theo quy định; quản lý, kiểm tra việc sử dụng ngân sách nhà nước chi cho giáo dục theo quy định của Luật ngân sách nhà nước và phân cấp quản lý ngân sách hiện hành nhằm đáp ứng các điều kiện bảo đảm chất lượng giáo dục; thực hiện thu, sử dụng học phí và các khoản thu hợp pháp khác đối với các cơ sở giáo dục công lập thuộc tỉnh; thực hiện chính sách xã hội hóa giáo dục, huy động các nguồn lực hợp pháp để phát triển giáo dục tại địa phương.</w:t>
      </w:r>
    </w:p>
    <w:p w14:paraId="5AF40C59"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9. Thực hiện phổ cập giáo dục, xóa mù chữ, xây dựng trường chuẩn quốc gia và xây dựng xã hội học tập tại địa phương.</w:t>
      </w:r>
    </w:p>
    <w:p w14:paraId="5F8AA725"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lastRenderedPageBreak/>
        <w:t>10. Chỉ đạo thực hiện việc sử dụng, đánh giá, đào tạo, bồi dưỡng và thực hiện chính sách đối với đội ngũ công chức, viên chức và người lao động tại các cơ sở giáo dục thuộc phạm vi quản lý theo quy định.</w:t>
      </w:r>
    </w:p>
    <w:p w14:paraId="653B1719"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11. Bố trí đủ quỹ đất dành cho các cơ sở giáo dục theo chiến lược, kế hoạch phát triển giáo dục tại địa phương.</w:t>
      </w:r>
    </w:p>
    <w:p w14:paraId="26F20010"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12. Thực hiện các chủ trương, chính sách của Nhà nước và các chính sách của địa phương để bảo đảm quyền tự chủ, trách nhiệm giải trình về thực hiện nhiệm vụ và chất lượng giáo dục của các cơ sở giáo dục thuộc phạm vi quản lý; thường xuyên cập nhật thông tin về đội ngũ nhà giáo và cán bộ quản lý giáo dục thuộc phạm vi quản lý vào cơ sở dữ liệu quốc gia về giáo dục.</w:t>
      </w:r>
    </w:p>
    <w:p w14:paraId="2CF92175"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13. Kiểm tra việc thực hiện pháp luật về giáo dục tại địa phương theo quy định.</w:t>
      </w:r>
    </w:p>
    <w:p w14:paraId="6C854F75"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14. Chỉ đạo thực hiện công tác thống kê, thông tin, báo cáo định kỳ hằng năm và đột xuất về lĩnh vực giáo dục của địa phương với Bộ Giáo dục và Đào tạo.</w:t>
      </w:r>
    </w:p>
    <w:p w14:paraId="5146200F"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15. Thực hiện các nhiệm vụ khác theo quy định của pháp luật.</w:t>
      </w:r>
    </w:p>
    <w:p w14:paraId="0A48B04D" w14:textId="77777777" w:rsidR="002F45F6" w:rsidRPr="002F45F6" w:rsidRDefault="002F45F6" w:rsidP="002F45F6">
      <w:pPr>
        <w:shd w:val="clear" w:color="auto" w:fill="FFFFFF"/>
        <w:spacing w:after="0" w:line="390" w:lineRule="atLeast"/>
        <w:rPr>
          <w:rFonts w:ascii="Arial" w:eastAsia="Times New Roman" w:hAnsi="Arial" w:cs="Arial"/>
          <w:kern w:val="0"/>
          <w:sz w:val="24"/>
          <w:szCs w:val="24"/>
          <w14:ligatures w14:val="none"/>
        </w:rPr>
      </w:pPr>
      <w:r w:rsidRPr="002F45F6">
        <w:rPr>
          <w:rFonts w:ascii="inherit" w:eastAsia="Times New Roman" w:hAnsi="inherit" w:cs="Arial"/>
          <w:b/>
          <w:bCs/>
          <w:kern w:val="0"/>
          <w:sz w:val="24"/>
          <w:szCs w:val="24"/>
          <w:bdr w:val="none" w:sz="0" w:space="0" w:color="auto" w:frame="1"/>
          <w14:ligatures w14:val="none"/>
        </w:rPr>
        <w:t>Điều 7. Trách nhiệm quản lý nhà nước về giáo dục của Chủ tịch Ủy ban nhân dân cấp tỉnh</w:t>
      </w:r>
    </w:p>
    <w:p w14:paraId="21A02D13"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 Quyết định thành lập hoặc cho phép thành lập, thu hồi quyết định thành lập hoặc quyết định cho phép thành lập, sáp nhập, chia, tách, giải thể, đổi tên, chuyển đổi loại hình trường đối với các cơ sở giáo dục công lập, tư thục theo quy định, bao gồm: trường trung cấp sư phạm, trường trung học phổ thông, trường phổ thông có nhiều cấp học có cấp học cao nhất là trung học phổ thông, trường bồi dưỡng cán bộ quản lý giáo dục tỉnh, trường phổ thông dân tộc nội trú cấp tỉnh và cấp huyện, trung tâm giáo dục thường xuyên cấp tỉnh và các cơ sở giáo dục khác thuộc phạm vi quản lý nhà nước theo quy định.</w:t>
      </w:r>
    </w:p>
    <w:p w14:paraId="18EE0719"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2. Quyết định cho phép thành lập, quyết định giải thể hoặc chấm dứt hoạt động đối với cơ sở giáo dục mầm non và cơ sở giáo dục phổ thông có vốn đầu tư nước ngoài (trừ cơ sở giáo dục mầm non, cơ sở giáo dục phổ thông do cơ quan đại diện ngoại giao nước ngoài, tổ chức quốc tế liên chính phủ đề nghị thành lập) theo quy định.</w:t>
      </w:r>
    </w:p>
    <w:p w14:paraId="7E9311B6"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lastRenderedPageBreak/>
        <w:t>3. Quyết định thành lập hội đồng trường, công nhận, bổ nhiệm, miễn nhiệm Chủ tịch hội đồng trường, bổ sung, thay thế thành viên Hội đồng trường; công nhận, bổ nhiệm, miễn nhiệm, điều động, khen thưởng, kỷ luật đối với hiệu trưởng, phó hiệu trưởng trường trung cấp sư phạm, trường cao đẳng sư phạm, trường bồi dưỡng cán bộ quản lý giáo dục tỉnh, trường đại học công lập trực thuộc tỉnh theo tiêu chuẩn chức danh và thủ tục do pháp luật quy định.</w:t>
      </w:r>
    </w:p>
    <w:p w14:paraId="6B1B65D5"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4. Quyết định công nhận, không công nhận hội đồng quản trị, chủ tịch hội đồng quản trị, hiệu trưởng các cơ sở giáo dục đại học tư thục trên địa bàn theo tiêu chuẩn chức danh và thủ tục do pháp luật quy định.</w:t>
      </w:r>
    </w:p>
    <w:p w14:paraId="151E79D1"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5. Quyết định bổ nhiệm, miễn nhiệm, điều động, khen thưởng, kỷ luật Giám đốc, Phó Giám đốc Sở Giáo dục và Đào tạo theo tiêu chuẩn chức danh và thủ tục do pháp luật quy định.</w:t>
      </w:r>
    </w:p>
    <w:p w14:paraId="4D340DE2"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6. Quyết định hoặc trình cấp có thẩm quyền quyết định khen thưởng các tổ chức, cá nhân có nhiều đóng góp đối với sự nghiệp phát triển giáo dục trên địa bàn.</w:t>
      </w:r>
    </w:p>
    <w:p w14:paraId="61057177"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7. Thanh tra hành chính đối với các cơ sở giáo dục thuộc thẩm quyền quản lý; chỉ đạo Ủy ban nhân dân cấp huyện, Sở Giáo dục và Đào tạo thanh tra hành chính đối với các cơ sở giáo dục thuộc thẩm quyền quản lý; chỉ đạo thanh tra chuyên ngành theo quy định của pháp luật.</w:t>
      </w:r>
    </w:p>
    <w:p w14:paraId="28DEBE52"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8. Giải quyết khiếu nại, giải quyết tố cáo và xử lý vi phạm về giáo dục tại các cơ sở giáo dục thuộc phạm vi quản lý theo quy định của pháp luật.</w:t>
      </w:r>
    </w:p>
    <w:p w14:paraId="04380C56"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9. Hằng năm báo cáo tình hình về lĩnh vực giáo dục của địa phương với Hội đồng nhân dân cấp tỉnh và Bộ Giáo dục và Đào tạo theo quy định.</w:t>
      </w:r>
    </w:p>
    <w:p w14:paraId="753DE9B9" w14:textId="77777777" w:rsidR="002F45F6" w:rsidRPr="002F45F6" w:rsidRDefault="002F45F6" w:rsidP="002F45F6">
      <w:pPr>
        <w:shd w:val="clear" w:color="auto" w:fill="FFFFFF"/>
        <w:spacing w:after="240" w:line="390" w:lineRule="atLeast"/>
        <w:rPr>
          <w:rFonts w:ascii="Arial" w:eastAsia="Times New Roman" w:hAnsi="Arial" w:cs="Arial"/>
          <w:kern w:val="0"/>
          <w:sz w:val="24"/>
          <w:szCs w:val="24"/>
          <w14:ligatures w14:val="none"/>
        </w:rPr>
      </w:pPr>
      <w:r w:rsidRPr="002F45F6">
        <w:rPr>
          <w:rFonts w:ascii="Arial" w:eastAsia="Times New Roman" w:hAnsi="Arial" w:cs="Arial"/>
          <w:kern w:val="0"/>
          <w:sz w:val="24"/>
          <w:szCs w:val="24"/>
          <w14:ligatures w14:val="none"/>
        </w:rPr>
        <w:t>10. Thực hiện các nhiệm vụ khác theo quy định của pháp luật.</w:t>
      </w:r>
    </w:p>
    <w:p w14:paraId="54444340" w14:textId="77777777" w:rsidR="00746901" w:rsidRPr="002F45F6" w:rsidRDefault="00746901" w:rsidP="002F45F6"/>
    <w:sectPr w:rsidR="00746901" w:rsidRPr="002F4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F6"/>
    <w:rsid w:val="002F45F6"/>
    <w:rsid w:val="0074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8F41"/>
  <w15:chartTrackingRefBased/>
  <w15:docId w15:val="{779742EC-9E9E-4A47-891C-A58A3B6F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9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wnload.vn/luat-giao-duc-nghe-nghiep-319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wnload.vn/luat-giao-duc-dai-hoc-2012-24978" TargetMode="External"/><Relationship Id="rId5" Type="http://schemas.openxmlformats.org/officeDocument/2006/relationships/hyperlink" Target="https://download.vn/luat-to-chuc-chinh-quyen-dia-phuong-so-77-2015-qh13-33943" TargetMode="External"/><Relationship Id="rId4" Type="http://schemas.openxmlformats.org/officeDocument/2006/relationships/hyperlink" Target="https://download.vn/luat-to-chuc-chinh-phu-3197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quyenngoc1912@gmail.com</dc:creator>
  <cp:keywords/>
  <dc:description/>
  <cp:lastModifiedBy>quyenngoc1912@gmail.com</cp:lastModifiedBy>
  <cp:revision>1</cp:revision>
  <dcterms:created xsi:type="dcterms:W3CDTF">2024-06-24T11:31:00Z</dcterms:created>
  <dcterms:modified xsi:type="dcterms:W3CDTF">2024-06-24T11:32:00Z</dcterms:modified>
</cp:coreProperties>
</file>